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50" w:rsidRDefault="00575017" w:rsidP="00575017">
      <w:r>
        <w:t>Drabest</w:t>
      </w:r>
    </w:p>
    <w:p w:rsidR="00575017" w:rsidRDefault="00575017" w:rsidP="00575017">
      <w:r>
        <w:t>EN131 150kg Aluminium Platform Steps</w:t>
      </w:r>
    </w:p>
    <w:p w:rsidR="00575017" w:rsidRDefault="00575017" w:rsidP="00575017">
      <w:r>
        <w:t>(ALD2-ALD8)</w:t>
      </w:r>
    </w:p>
    <w:p w:rsidR="00261FB8" w:rsidRDefault="00261FB8" w:rsidP="00575017">
      <w:r>
        <w:t>09.01.18</w:t>
      </w:r>
    </w:p>
    <w:p w:rsidR="00575017" w:rsidRDefault="00575017" w:rsidP="00575017"/>
    <w:tbl>
      <w:tblPr>
        <w:tblStyle w:val="TableGrid"/>
        <w:tblW w:w="0" w:type="auto"/>
        <w:tblLook w:val="04A0"/>
      </w:tblPr>
      <w:tblGrid>
        <w:gridCol w:w="1668"/>
        <w:gridCol w:w="1082"/>
        <w:gridCol w:w="1082"/>
        <w:gridCol w:w="1082"/>
        <w:gridCol w:w="1082"/>
        <w:gridCol w:w="1082"/>
        <w:gridCol w:w="1082"/>
        <w:gridCol w:w="1082"/>
      </w:tblGrid>
      <w:tr w:rsidR="00575017" w:rsidTr="00575017">
        <w:tc>
          <w:tcPr>
            <w:tcW w:w="1668" w:type="dxa"/>
          </w:tcPr>
          <w:p w:rsidR="00575017" w:rsidRDefault="00575017" w:rsidP="00575017">
            <w:r>
              <w:t>ALD</w:t>
            </w:r>
            <w:r w:rsidR="00793037">
              <w:t>-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4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5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6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7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8</w:t>
            </w:r>
          </w:p>
        </w:tc>
      </w:tr>
      <w:tr w:rsidR="00575017" w:rsidTr="00575017">
        <w:tc>
          <w:tcPr>
            <w:tcW w:w="1668" w:type="dxa"/>
          </w:tcPr>
          <w:p w:rsidR="00575017" w:rsidRDefault="00575017" w:rsidP="00575017">
            <w:r>
              <w:t>Number of treads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4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5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6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7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8</w:t>
            </w:r>
          </w:p>
        </w:tc>
      </w:tr>
      <w:tr w:rsidR="00575017" w:rsidTr="00575017">
        <w:tc>
          <w:tcPr>
            <w:tcW w:w="1668" w:type="dxa"/>
          </w:tcPr>
          <w:p w:rsidR="00575017" w:rsidRDefault="00575017" w:rsidP="00575017">
            <w:r>
              <w:t>Standing Height (m)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0.3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0.6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0.8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1.0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1.2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1.4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1.6</w:t>
            </w:r>
          </w:p>
        </w:tc>
      </w:tr>
      <w:tr w:rsidR="00575017" w:rsidTr="00575017">
        <w:tc>
          <w:tcPr>
            <w:tcW w:w="1668" w:type="dxa"/>
          </w:tcPr>
          <w:p w:rsidR="00575017" w:rsidRDefault="00575017" w:rsidP="00575017">
            <w:r>
              <w:t>Ladder height (m)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0.9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1.1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1.4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1.6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1.8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2.0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2.2</w:t>
            </w:r>
          </w:p>
        </w:tc>
      </w:tr>
      <w:tr w:rsidR="00575017" w:rsidTr="00575017">
        <w:tc>
          <w:tcPr>
            <w:tcW w:w="1668" w:type="dxa"/>
          </w:tcPr>
          <w:p w:rsidR="00575017" w:rsidRDefault="00575017" w:rsidP="00575017">
            <w:r>
              <w:t>Working Height (m)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2.3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2.6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2.8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3.0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3.2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3.4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3.6</w:t>
            </w:r>
          </w:p>
        </w:tc>
      </w:tr>
      <w:tr w:rsidR="00575017" w:rsidTr="00575017">
        <w:tc>
          <w:tcPr>
            <w:tcW w:w="1668" w:type="dxa"/>
          </w:tcPr>
          <w:p w:rsidR="00575017" w:rsidRDefault="00575017" w:rsidP="00793037">
            <w:r>
              <w:t xml:space="preserve">Ladder </w:t>
            </w:r>
            <w:r w:rsidR="00793037">
              <w:t>length</w:t>
            </w:r>
            <w:r>
              <w:t xml:space="preserve"> (m)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0.99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1.71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1.45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1.64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1.91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2.15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2.36</w:t>
            </w:r>
          </w:p>
        </w:tc>
      </w:tr>
      <w:tr w:rsidR="00575017" w:rsidTr="00575017">
        <w:tc>
          <w:tcPr>
            <w:tcW w:w="1668" w:type="dxa"/>
          </w:tcPr>
          <w:p w:rsidR="00575017" w:rsidRDefault="00575017" w:rsidP="00575017">
            <w:r>
              <w:t>Ladder width (m)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0.38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0.41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0.43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0.45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0.48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0.50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0.52</w:t>
            </w:r>
          </w:p>
        </w:tc>
      </w:tr>
      <w:tr w:rsidR="00575017" w:rsidTr="00575017">
        <w:tc>
          <w:tcPr>
            <w:tcW w:w="1668" w:type="dxa"/>
          </w:tcPr>
          <w:p w:rsidR="00575017" w:rsidRDefault="00575017" w:rsidP="00575017">
            <w:r>
              <w:t>Platform size (mm)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250 x 250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250 x 250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250 x 250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250 x 250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250 x 250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250 x 250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250 x 250</w:t>
            </w:r>
          </w:p>
        </w:tc>
      </w:tr>
      <w:tr w:rsidR="00575017" w:rsidTr="00575017">
        <w:tc>
          <w:tcPr>
            <w:tcW w:w="1668" w:type="dxa"/>
          </w:tcPr>
          <w:p w:rsidR="00575017" w:rsidRDefault="00575017" w:rsidP="00575017">
            <w:r>
              <w:t>Step width (mm)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80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80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80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80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80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80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80</w:t>
            </w:r>
          </w:p>
        </w:tc>
      </w:tr>
      <w:tr w:rsidR="00575017" w:rsidTr="00575017">
        <w:tc>
          <w:tcPr>
            <w:tcW w:w="1668" w:type="dxa"/>
          </w:tcPr>
          <w:p w:rsidR="00575017" w:rsidRDefault="00575017" w:rsidP="00575017">
            <w:r>
              <w:t>Front Rails (mm)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40 x 20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40 x 20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40 x 20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40 x 20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40 x 20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40 x 20</w:t>
            </w:r>
          </w:p>
        </w:tc>
        <w:tc>
          <w:tcPr>
            <w:tcW w:w="1082" w:type="dxa"/>
          </w:tcPr>
          <w:p w:rsidR="00575017" w:rsidRDefault="00575017" w:rsidP="004E73A1">
            <w:pPr>
              <w:jc w:val="center"/>
            </w:pPr>
            <w:r>
              <w:t>40 x 20</w:t>
            </w:r>
          </w:p>
        </w:tc>
      </w:tr>
      <w:tr w:rsidR="00575017" w:rsidTr="00575017">
        <w:tc>
          <w:tcPr>
            <w:tcW w:w="1668" w:type="dxa"/>
          </w:tcPr>
          <w:p w:rsidR="00575017" w:rsidRDefault="00575017" w:rsidP="00575017">
            <w:r>
              <w:t>Weight (kg)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2.4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2.9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3.6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4.2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4.8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6.9</w:t>
            </w:r>
          </w:p>
        </w:tc>
        <w:tc>
          <w:tcPr>
            <w:tcW w:w="1082" w:type="dxa"/>
          </w:tcPr>
          <w:p w:rsidR="00575017" w:rsidRDefault="00575017" w:rsidP="00575017">
            <w:pPr>
              <w:jc w:val="center"/>
            </w:pPr>
            <w:r>
              <w:t>7.4</w:t>
            </w:r>
          </w:p>
        </w:tc>
      </w:tr>
    </w:tbl>
    <w:p w:rsidR="00575017" w:rsidRDefault="00575017" w:rsidP="00575017"/>
    <w:p w:rsidR="00575017" w:rsidRDefault="00575017" w:rsidP="00575017"/>
    <w:p w:rsidR="00575017" w:rsidRPr="00575017" w:rsidRDefault="00575017" w:rsidP="00575017"/>
    <w:sectPr w:rsidR="00575017" w:rsidRPr="00575017" w:rsidSect="005E2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7450"/>
    <w:rsid w:val="00261FB8"/>
    <w:rsid w:val="00575017"/>
    <w:rsid w:val="005E20CA"/>
    <w:rsid w:val="00793037"/>
    <w:rsid w:val="007D241E"/>
    <w:rsid w:val="00950284"/>
    <w:rsid w:val="00CD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905B5-BAB9-41F6-91C9-014DC141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2018-01-09T16:42:00Z</dcterms:created>
  <dcterms:modified xsi:type="dcterms:W3CDTF">2018-01-11T12:01:00Z</dcterms:modified>
</cp:coreProperties>
</file>